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0E4" w:rsidRDefault="003760E4" w:rsidP="003760E4">
      <w:pPr>
        <w:spacing w:after="480" w:line="240" w:lineRule="auto"/>
        <w:jc w:val="center"/>
        <w:rPr>
          <w:rFonts w:ascii="Times New Roman" w:eastAsia="Times New Roman" w:hAnsi="Times New Roman" w:cs="Times New Roman"/>
          <w:b/>
        </w:rPr>
      </w:pPr>
      <w:r>
        <w:rPr>
          <w:rFonts w:ascii="Times New Roman" w:eastAsia="Times New Roman" w:hAnsi="Times New Roman" w:cs="Times New Roman"/>
          <w:b/>
        </w:rPr>
        <w:t>Ocena skutków dla ochrony danych (DPIA) dla procesu pozyskiwania informacji z Rejestru Sprawców Przestępstw na Tle Seksualnym</w:t>
      </w:r>
    </w:p>
    <w:p w:rsidR="003760E4" w:rsidRDefault="003760E4" w:rsidP="003760E4">
      <w:pPr>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I. ETAP 1: Ustalenie stanu faktycznego </w:t>
      </w:r>
    </w:p>
    <w:p w:rsidR="003760E4" w:rsidRDefault="003760E4" w:rsidP="003760E4">
      <w:pPr>
        <w:spacing w:after="200" w:line="240" w:lineRule="auto"/>
        <w:ind w:firstLine="426"/>
        <w:jc w:val="both"/>
        <w:rPr>
          <w:rFonts w:ascii="Times New Roman" w:eastAsia="Times New Roman" w:hAnsi="Times New Roman" w:cs="Times New Roman"/>
        </w:rPr>
      </w:pPr>
      <w:r>
        <w:rPr>
          <w:rFonts w:ascii="Times New Roman" w:eastAsia="Times New Roman" w:hAnsi="Times New Roman" w:cs="Times New Roman"/>
        </w:rPr>
        <w:t>Art. 35 RODO ust. 1 RODO wskazuje, że jeżeli dany rodzaj przetwarzania – w szczególności z użyciem nowych technologii – ze względu na swój charakter, zakres, kontekst i cele z dużym prawdopodobieństwem może powodować wysokie ryzyko naruszenia praw lub wolności osób fizycznych, administrator przed rozpoczęciem przetwarzania dokonuje oceny skutków dla ochrony danych (DPIA). Prezes UODO w komunikacie z dnia 17 czerwca 2019 r. w sprawie wykazu rodzajów operacji przetwarzania danych osobowych wymagających oceny skutków przetwarzania dla ich ochrony (M. P. z 2019 r. poz. 666) wskazał rodzaje operacji przetwarzania wymagających oceny skutków. Administrator oceniając, czy dany rodzaj operacji będzie podlegał obowiązkowi przeprowadzenia DPIA, musi wziąć pod uwagę, wskazane na wstępie przesłanki. Jeżeli jakakolwiek z nich zostanie spełniona, dokonanie DPIA jest obligatoryjne. Urząd Ochrony Danych Osobowych podkreśla, że każdy z przykładów obszarów zastosowania ma charakter wyłącznie ilustracyjny, a w konsekwencji „Przykłady operacji/ zakresu danych/ okoliczności, w których może wystąpić wysokie ryzyko naruszenia dla danego rodzaju operacji przetwarzania” nie mają charakteru wyczerpującego. W przypadku pozyskiwania danych z Krajowego Rejestru Karnego Rejestru Sprawców Przestępstw na Tle Seksualnym zachodzi wysokie prawdopodobieństwo zagrożenia dla praw i wolności osoby fizycznej.</w:t>
      </w:r>
    </w:p>
    <w:p w:rsidR="003760E4" w:rsidRDefault="003760E4" w:rsidP="003760E4">
      <w:pPr>
        <w:spacing w:after="200" w:line="240" w:lineRule="auto"/>
        <w:jc w:val="both"/>
        <w:rPr>
          <w:rFonts w:ascii="Times New Roman" w:eastAsia="Times New Roman" w:hAnsi="Times New Roman" w:cs="Times New Roman"/>
          <w:b/>
        </w:rPr>
      </w:pPr>
      <w:r>
        <w:rPr>
          <w:rFonts w:ascii="Times New Roman" w:eastAsia="Times New Roman" w:hAnsi="Times New Roman" w:cs="Times New Roman"/>
          <w:b/>
        </w:rPr>
        <w:t>II. ETAP: Opis przetwarzania</w:t>
      </w:r>
    </w:p>
    <w:p w:rsidR="003760E4" w:rsidRDefault="003760E4" w:rsidP="003760E4">
      <w:pPr>
        <w:tabs>
          <w:tab w:val="right" w:pos="9070"/>
        </w:tabs>
        <w:spacing w:after="200" w:line="240" w:lineRule="auto"/>
        <w:rPr>
          <w:rFonts w:ascii="Times New Roman" w:eastAsia="Times New Roman" w:hAnsi="Times New Roman" w:cs="Times New Roman"/>
          <w:b/>
        </w:rPr>
      </w:pPr>
      <w:r>
        <w:rPr>
          <w:rFonts w:ascii="Times New Roman" w:eastAsia="Times New Roman" w:hAnsi="Times New Roman" w:cs="Times New Roman"/>
          <w:b/>
        </w:rPr>
        <w:t>Tabela nr 1</w:t>
      </w:r>
    </w:p>
    <w:tbl>
      <w:tblPr>
        <w:tblW w:w="9016" w:type="dxa"/>
        <w:tblInd w:w="50" w:type="dxa"/>
        <w:tblCellMar>
          <w:left w:w="10" w:type="dxa"/>
          <w:right w:w="10" w:type="dxa"/>
        </w:tblCellMar>
        <w:tblLook w:val="04A0" w:firstRow="1" w:lastRow="0" w:firstColumn="1" w:lastColumn="0" w:noHBand="0" w:noVBand="1"/>
      </w:tblPr>
      <w:tblGrid>
        <w:gridCol w:w="3549"/>
        <w:gridCol w:w="5467"/>
      </w:tblGrid>
      <w:tr w:rsidR="003760E4" w:rsidTr="003760E4">
        <w:tblPrEx>
          <w:tblCellMar>
            <w:top w:w="0" w:type="dxa"/>
            <w:bottom w:w="0" w:type="dxa"/>
          </w:tblCellMar>
        </w:tblPrEx>
        <w:trPr>
          <w:trHeight w:val="1"/>
        </w:trPr>
        <w:tc>
          <w:tcPr>
            <w:tcW w:w="3549" w:type="dxa"/>
            <w:tcBorders>
              <w:top w:val="single" w:sz="5" w:space="0" w:color="836967"/>
              <w:left w:val="single" w:sz="5" w:space="0" w:color="836967"/>
              <w:bottom w:val="single" w:sz="5" w:space="0" w:color="836967"/>
              <w:right w:val="single" w:sz="5" w:space="0" w:color="836967"/>
            </w:tcBorders>
            <w:shd w:val="clear" w:color="auto" w:fill="5B9BD5" w:themeFill="accent1"/>
            <w:tcMar>
              <w:left w:w="108" w:type="dxa"/>
              <w:right w:w="108" w:type="dxa"/>
            </w:tcMar>
          </w:tcPr>
          <w:p w:rsidR="003760E4" w:rsidRDefault="003760E4" w:rsidP="003760E4">
            <w:pPr>
              <w:spacing w:after="0" w:line="240" w:lineRule="auto"/>
            </w:pPr>
            <w:r>
              <w:rPr>
                <w:rFonts w:ascii="Times New Roman" w:eastAsia="Times New Roman" w:hAnsi="Times New Roman" w:cs="Times New Roman"/>
              </w:rPr>
              <w:t>Dane do identyfikacji procesu przetwarzania</w:t>
            </w:r>
          </w:p>
        </w:tc>
        <w:tc>
          <w:tcPr>
            <w:tcW w:w="5467" w:type="dxa"/>
            <w:tcBorders>
              <w:top w:val="single" w:sz="5" w:space="0" w:color="836967"/>
              <w:left w:val="single" w:sz="5" w:space="0" w:color="836967"/>
              <w:bottom w:val="single" w:sz="5" w:space="0" w:color="836967"/>
              <w:right w:val="single" w:sz="5" w:space="0" w:color="836967"/>
            </w:tcBorders>
            <w:shd w:val="clear" w:color="auto" w:fill="5B9BD5" w:themeFill="accent1"/>
            <w:tcMar>
              <w:left w:w="108" w:type="dxa"/>
              <w:right w:w="108" w:type="dxa"/>
            </w:tcMar>
          </w:tcPr>
          <w:p w:rsidR="003760E4" w:rsidRDefault="003760E4" w:rsidP="00F6597A">
            <w:pPr>
              <w:spacing w:after="0" w:line="240" w:lineRule="auto"/>
              <w:jc w:val="center"/>
            </w:pPr>
            <w:r>
              <w:rPr>
                <w:rFonts w:ascii="Times New Roman" w:eastAsia="Times New Roman" w:hAnsi="Times New Roman" w:cs="Times New Roman"/>
              </w:rPr>
              <w:t>Opis</w:t>
            </w:r>
          </w:p>
        </w:tc>
      </w:tr>
      <w:tr w:rsidR="003760E4" w:rsidTr="003760E4">
        <w:tblPrEx>
          <w:tblCellMar>
            <w:top w:w="0" w:type="dxa"/>
            <w:bottom w:w="0" w:type="dxa"/>
          </w:tblCellMar>
        </w:tblPrEx>
        <w:trPr>
          <w:trHeight w:val="1"/>
        </w:trPr>
        <w:tc>
          <w:tcPr>
            <w:tcW w:w="354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pPr>
            <w:r>
              <w:rPr>
                <w:rFonts w:ascii="Times New Roman" w:eastAsia="Times New Roman" w:hAnsi="Times New Roman" w:cs="Times New Roman"/>
                <w:color w:val="000000"/>
              </w:rPr>
              <w:t xml:space="preserve">Opis czynności przetwarzania </w:t>
            </w:r>
          </w:p>
        </w:tc>
        <w:tc>
          <w:tcPr>
            <w:tcW w:w="54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Pozyskiwanie przez pracodawcę danych z Krajowego Rejestru Karnego Rejestru Sprawców Przestępstw na Tle Seksualnym</w:t>
            </w:r>
          </w:p>
        </w:tc>
      </w:tr>
      <w:tr w:rsidR="003760E4" w:rsidTr="003760E4">
        <w:tblPrEx>
          <w:tblCellMar>
            <w:top w:w="0" w:type="dxa"/>
            <w:bottom w:w="0" w:type="dxa"/>
          </w:tblCellMar>
        </w:tblPrEx>
        <w:trPr>
          <w:trHeight w:val="1"/>
        </w:trPr>
        <w:tc>
          <w:tcPr>
            <w:tcW w:w="354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pPr>
            <w:r>
              <w:rPr>
                <w:rFonts w:ascii="Times New Roman" w:eastAsia="Times New Roman" w:hAnsi="Times New Roman" w:cs="Times New Roman"/>
              </w:rPr>
              <w:t>Cel czynności przetwarzania</w:t>
            </w:r>
          </w:p>
        </w:tc>
        <w:tc>
          <w:tcPr>
            <w:tcW w:w="54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 xml:space="preserve">Bezpieczeństwo małoletnich </w:t>
            </w:r>
          </w:p>
        </w:tc>
      </w:tr>
      <w:tr w:rsidR="003760E4" w:rsidTr="003760E4">
        <w:tblPrEx>
          <w:tblCellMar>
            <w:top w:w="0" w:type="dxa"/>
            <w:bottom w:w="0" w:type="dxa"/>
          </w:tblCellMar>
        </w:tblPrEx>
        <w:trPr>
          <w:trHeight w:val="1"/>
        </w:trPr>
        <w:tc>
          <w:tcPr>
            <w:tcW w:w="354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pPr>
            <w:r>
              <w:rPr>
                <w:rFonts w:ascii="Times New Roman" w:eastAsia="Times New Roman" w:hAnsi="Times New Roman" w:cs="Times New Roman"/>
              </w:rPr>
              <w:t>Podstawa prawna przetwarzania</w:t>
            </w:r>
          </w:p>
        </w:tc>
        <w:tc>
          <w:tcPr>
            <w:tcW w:w="54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Pr="003760E4" w:rsidRDefault="003760E4" w:rsidP="00F6597A">
            <w:pPr>
              <w:spacing w:after="0" w:line="240" w:lineRule="auto"/>
              <w:jc w:val="both"/>
              <w:rPr>
                <w:rFonts w:ascii="Times New Roman" w:eastAsia="Times New Roman" w:hAnsi="Times New Roman" w:cs="Times New Roman"/>
              </w:rPr>
            </w:pPr>
            <w:r w:rsidRPr="003760E4">
              <w:rPr>
                <w:rFonts w:ascii="Times New Roman" w:eastAsia="Times New Roman" w:hAnsi="Times New Roman" w:cs="Times New Roman"/>
              </w:rPr>
              <w:t>Ustawa z dnia 24 maja 2000 r. o Krajowym Rejestrze Karnym (t.j. Dz. U. z 2024 r. poz. 276)</w:t>
            </w:r>
          </w:p>
          <w:p w:rsidR="003760E4" w:rsidRPr="003760E4" w:rsidRDefault="003760E4" w:rsidP="00F6597A">
            <w:pPr>
              <w:spacing w:after="0" w:line="240" w:lineRule="auto"/>
              <w:jc w:val="both"/>
              <w:rPr>
                <w:rFonts w:ascii="Times New Roman" w:eastAsia="Times New Roman" w:hAnsi="Times New Roman" w:cs="Times New Roman"/>
              </w:rPr>
            </w:pPr>
          </w:p>
          <w:p w:rsidR="003760E4" w:rsidRPr="003760E4" w:rsidRDefault="003760E4" w:rsidP="00F6597A">
            <w:pPr>
              <w:spacing w:after="0" w:line="240" w:lineRule="auto"/>
              <w:jc w:val="both"/>
              <w:rPr>
                <w:rFonts w:ascii="Times New Roman" w:eastAsia="Times New Roman" w:hAnsi="Times New Roman" w:cs="Times New Roman"/>
              </w:rPr>
            </w:pPr>
            <w:r w:rsidRPr="003760E4">
              <w:rPr>
                <w:rFonts w:ascii="Times New Roman" w:eastAsia="Times New Roman" w:hAnsi="Times New Roman" w:cs="Times New Roman"/>
              </w:rPr>
              <w:t>Ustawa z dnia 13 maja 2016 r. o przeciwdziałaniu zagrożeniom przestępczością na tl</w:t>
            </w:r>
            <w:r w:rsidRPr="003760E4">
              <w:rPr>
                <w:rFonts w:ascii="Times New Roman" w:eastAsia="Times New Roman" w:hAnsi="Times New Roman" w:cs="Times New Roman"/>
              </w:rPr>
              <w:t>e seksualnym (t.j. Dz. U. z 2024. 506</w:t>
            </w:r>
            <w:r w:rsidRPr="003760E4">
              <w:rPr>
                <w:rFonts w:ascii="Times New Roman" w:eastAsia="Times New Roman" w:hAnsi="Times New Roman" w:cs="Times New Roman"/>
              </w:rPr>
              <w:t>z późn. zm.).</w:t>
            </w:r>
          </w:p>
          <w:p w:rsidR="003760E4" w:rsidRPr="003760E4" w:rsidRDefault="003760E4" w:rsidP="00F6597A">
            <w:pPr>
              <w:spacing w:after="0" w:line="240" w:lineRule="auto"/>
              <w:jc w:val="both"/>
            </w:pPr>
          </w:p>
        </w:tc>
      </w:tr>
      <w:tr w:rsidR="003760E4" w:rsidTr="003760E4">
        <w:tblPrEx>
          <w:tblCellMar>
            <w:top w:w="0" w:type="dxa"/>
            <w:bottom w:w="0" w:type="dxa"/>
          </w:tblCellMar>
        </w:tblPrEx>
        <w:trPr>
          <w:trHeight w:val="1"/>
        </w:trPr>
        <w:tc>
          <w:tcPr>
            <w:tcW w:w="354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pPr>
            <w:r>
              <w:rPr>
                <w:rFonts w:ascii="Times New Roman" w:eastAsia="Times New Roman" w:hAnsi="Times New Roman" w:cs="Times New Roman"/>
              </w:rPr>
              <w:t>Administrator danych</w:t>
            </w:r>
          </w:p>
        </w:tc>
        <w:tc>
          <w:tcPr>
            <w:tcW w:w="54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Pr="003760E4" w:rsidRDefault="003760E4" w:rsidP="00F6597A">
            <w:pPr>
              <w:spacing w:after="0" w:line="240" w:lineRule="auto"/>
              <w:jc w:val="both"/>
              <w:rPr>
                <w:rFonts w:ascii="Times New Roman" w:eastAsia="Calibri" w:hAnsi="Times New Roman" w:cs="Times New Roman"/>
              </w:rPr>
            </w:pPr>
            <w:r w:rsidRPr="003760E4">
              <w:rPr>
                <w:rFonts w:ascii="Times New Roman" w:eastAsia="Calibri" w:hAnsi="Times New Roman" w:cs="Times New Roman"/>
              </w:rPr>
              <w:t xml:space="preserve">Ośrodek Sportu i Rekreacji w Jabłonnie ul. Partyzantów 124 A (05-123) Chotomów  </w:t>
            </w:r>
          </w:p>
        </w:tc>
      </w:tr>
      <w:tr w:rsidR="003760E4" w:rsidTr="003760E4">
        <w:tblPrEx>
          <w:tblCellMar>
            <w:top w:w="0" w:type="dxa"/>
            <w:bottom w:w="0" w:type="dxa"/>
          </w:tblCellMar>
        </w:tblPrEx>
        <w:trPr>
          <w:trHeight w:val="1"/>
        </w:trPr>
        <w:tc>
          <w:tcPr>
            <w:tcW w:w="354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pPr>
            <w:r>
              <w:rPr>
                <w:rFonts w:ascii="Times New Roman" w:eastAsia="Times New Roman" w:hAnsi="Times New Roman" w:cs="Times New Roman"/>
                <w:color w:val="000000"/>
              </w:rPr>
              <w:t xml:space="preserve">Podmioty przetwarzające </w:t>
            </w:r>
          </w:p>
        </w:tc>
        <w:tc>
          <w:tcPr>
            <w:tcW w:w="54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Pr="001415FC" w:rsidRDefault="003760E4" w:rsidP="00F6597A">
            <w:pPr>
              <w:spacing w:after="0" w:line="240" w:lineRule="auto"/>
              <w:jc w:val="both"/>
              <w:rPr>
                <w:rFonts w:ascii="Times New Roman" w:eastAsia="Calibri" w:hAnsi="Times New Roman" w:cs="Times New Roman"/>
              </w:rPr>
            </w:pPr>
            <w:r w:rsidRPr="001415FC">
              <w:rPr>
                <w:rFonts w:ascii="Times New Roman" w:eastAsia="Calibri" w:hAnsi="Times New Roman" w:cs="Times New Roman"/>
              </w:rPr>
              <w:t>Nie dotyczy.</w:t>
            </w:r>
          </w:p>
        </w:tc>
      </w:tr>
      <w:tr w:rsidR="003760E4" w:rsidTr="003760E4">
        <w:tblPrEx>
          <w:tblCellMar>
            <w:top w:w="0" w:type="dxa"/>
            <w:bottom w:w="0" w:type="dxa"/>
          </w:tblCellMar>
        </w:tblPrEx>
        <w:trPr>
          <w:trHeight w:val="1"/>
        </w:trPr>
        <w:tc>
          <w:tcPr>
            <w:tcW w:w="354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pPr>
            <w:r>
              <w:rPr>
                <w:rFonts w:ascii="Times New Roman" w:eastAsia="Times New Roman" w:hAnsi="Times New Roman" w:cs="Times New Roman"/>
                <w:color w:val="000000"/>
              </w:rPr>
              <w:t xml:space="preserve">Umowy powierzenia przetwarzania danych osobowych </w:t>
            </w:r>
          </w:p>
        </w:tc>
        <w:tc>
          <w:tcPr>
            <w:tcW w:w="54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Pr="001415FC" w:rsidRDefault="003760E4" w:rsidP="00F6597A">
            <w:pPr>
              <w:spacing w:after="0" w:line="240" w:lineRule="auto"/>
              <w:jc w:val="both"/>
              <w:rPr>
                <w:rFonts w:ascii="Times New Roman" w:eastAsia="Calibri" w:hAnsi="Times New Roman" w:cs="Times New Roman"/>
              </w:rPr>
            </w:pPr>
            <w:r w:rsidRPr="001415FC">
              <w:rPr>
                <w:rFonts w:ascii="Times New Roman" w:eastAsia="Calibri" w:hAnsi="Times New Roman" w:cs="Times New Roman"/>
              </w:rPr>
              <w:t>Nie dotyczy.</w:t>
            </w:r>
          </w:p>
        </w:tc>
      </w:tr>
      <w:tr w:rsidR="003760E4" w:rsidTr="003760E4">
        <w:tblPrEx>
          <w:tblCellMar>
            <w:top w:w="0" w:type="dxa"/>
            <w:bottom w:w="0" w:type="dxa"/>
          </w:tblCellMar>
        </w:tblPrEx>
        <w:trPr>
          <w:trHeight w:val="1"/>
        </w:trPr>
        <w:tc>
          <w:tcPr>
            <w:tcW w:w="354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pPr>
            <w:r>
              <w:rPr>
                <w:rFonts w:ascii="Times New Roman" w:eastAsia="Times New Roman" w:hAnsi="Times New Roman" w:cs="Times New Roman"/>
                <w:color w:val="000000"/>
              </w:rPr>
              <w:t xml:space="preserve">Systemy wspierające przetwarzanie </w:t>
            </w:r>
          </w:p>
        </w:tc>
        <w:tc>
          <w:tcPr>
            <w:tcW w:w="54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Pr="001415FC" w:rsidRDefault="003760E4" w:rsidP="00F6597A">
            <w:pPr>
              <w:spacing w:after="0" w:line="240" w:lineRule="auto"/>
              <w:jc w:val="both"/>
              <w:rPr>
                <w:rFonts w:ascii="Times New Roman" w:eastAsia="Calibri" w:hAnsi="Times New Roman" w:cs="Times New Roman"/>
              </w:rPr>
            </w:pPr>
            <w:r w:rsidRPr="001415FC">
              <w:rPr>
                <w:rFonts w:ascii="Times New Roman" w:eastAsia="Calibri" w:hAnsi="Times New Roman" w:cs="Times New Roman"/>
              </w:rPr>
              <w:t>Nie dotyczy.</w:t>
            </w:r>
          </w:p>
        </w:tc>
      </w:tr>
      <w:tr w:rsidR="003760E4" w:rsidTr="003760E4">
        <w:tblPrEx>
          <w:tblCellMar>
            <w:top w:w="0" w:type="dxa"/>
            <w:bottom w:w="0" w:type="dxa"/>
          </w:tblCellMar>
        </w:tblPrEx>
        <w:trPr>
          <w:trHeight w:val="1"/>
        </w:trPr>
        <w:tc>
          <w:tcPr>
            <w:tcW w:w="354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pPr>
            <w:r>
              <w:rPr>
                <w:rFonts w:ascii="Times New Roman" w:eastAsia="Times New Roman" w:hAnsi="Times New Roman" w:cs="Times New Roman"/>
                <w:color w:val="000000"/>
              </w:rPr>
              <w:t>Planowane przepływy danych</w:t>
            </w:r>
          </w:p>
        </w:tc>
        <w:tc>
          <w:tcPr>
            <w:tcW w:w="54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Pr="001415FC" w:rsidRDefault="003760E4" w:rsidP="00F6597A">
            <w:pPr>
              <w:spacing w:after="0" w:line="240" w:lineRule="auto"/>
              <w:jc w:val="both"/>
              <w:rPr>
                <w:rFonts w:ascii="Times New Roman" w:eastAsia="Calibri" w:hAnsi="Times New Roman" w:cs="Times New Roman"/>
              </w:rPr>
            </w:pPr>
            <w:r w:rsidRPr="001415FC">
              <w:rPr>
                <w:rFonts w:ascii="Times New Roman" w:eastAsia="Calibri" w:hAnsi="Times New Roman" w:cs="Times New Roman"/>
              </w:rPr>
              <w:t>Nie dotyczy.</w:t>
            </w:r>
          </w:p>
        </w:tc>
      </w:tr>
      <w:tr w:rsidR="003760E4" w:rsidTr="003760E4">
        <w:tblPrEx>
          <w:tblCellMar>
            <w:top w:w="0" w:type="dxa"/>
            <w:bottom w:w="0" w:type="dxa"/>
          </w:tblCellMar>
        </w:tblPrEx>
        <w:trPr>
          <w:trHeight w:val="1"/>
        </w:trPr>
        <w:tc>
          <w:tcPr>
            <w:tcW w:w="354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pPr>
            <w:r>
              <w:rPr>
                <w:rFonts w:ascii="Times New Roman" w:eastAsia="Times New Roman" w:hAnsi="Times New Roman" w:cs="Times New Roman"/>
              </w:rPr>
              <w:t>Charakter przetwarzania</w:t>
            </w:r>
          </w:p>
        </w:tc>
        <w:tc>
          <w:tcPr>
            <w:tcW w:w="54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080A2B" w:rsidRPr="00593BC4" w:rsidRDefault="00080A2B" w:rsidP="00593BC4">
            <w:pPr>
              <w:spacing w:after="0" w:line="240" w:lineRule="auto"/>
              <w:rPr>
                <w:rFonts w:ascii="Times New Roman" w:eastAsia="Times New Roman" w:hAnsi="Times New Roman" w:cs="Times New Roman"/>
              </w:rPr>
            </w:pPr>
            <w:r w:rsidRPr="00593BC4">
              <w:rPr>
                <w:rFonts w:ascii="Times New Roman" w:eastAsia="Times New Roman" w:hAnsi="Times New Roman" w:cs="Times New Roman"/>
              </w:rPr>
              <w:t xml:space="preserve">Dane będą przetwarzane elektronicznie i papierowo. Źródło danych: </w:t>
            </w:r>
            <w:r w:rsidR="001415FC">
              <w:rPr>
                <w:rFonts w:ascii="Times New Roman" w:eastAsia="Times New Roman" w:hAnsi="Times New Roman" w:cs="Times New Roman"/>
              </w:rPr>
              <w:t>Krajowy Rejestr Karny Rejestr</w:t>
            </w:r>
            <w:r w:rsidRPr="00593BC4">
              <w:rPr>
                <w:rFonts w:ascii="Times New Roman" w:eastAsia="Times New Roman" w:hAnsi="Times New Roman" w:cs="Times New Roman"/>
              </w:rPr>
              <w:t xml:space="preserve"> Sprawców Przestępstw na Tle Seksualnym</w:t>
            </w:r>
            <w:r w:rsidRPr="00593BC4">
              <w:rPr>
                <w:rFonts w:ascii="Times New Roman" w:eastAsia="Times New Roman" w:hAnsi="Times New Roman" w:cs="Times New Roman"/>
              </w:rPr>
              <w:t xml:space="preserve">; </w:t>
            </w:r>
          </w:p>
          <w:p w:rsidR="003760E4" w:rsidRPr="00593BC4" w:rsidRDefault="00593BC4" w:rsidP="00593BC4">
            <w:pPr>
              <w:spacing w:after="0" w:line="240" w:lineRule="auto"/>
              <w:jc w:val="both"/>
            </w:pPr>
            <w:r w:rsidRPr="00593BC4">
              <w:rPr>
                <w:rFonts w:ascii="Times New Roman" w:eastAsia="Times New Roman" w:hAnsi="Times New Roman" w:cs="Times New Roman"/>
              </w:rPr>
              <w:t xml:space="preserve">Udostępnienie danych: </w:t>
            </w:r>
            <w:r w:rsidRPr="00593BC4">
              <w:rPr>
                <w:rFonts w:ascii="Times New Roman" w:eastAsia="Times New Roman" w:hAnsi="Times New Roman" w:cs="Times New Roman"/>
              </w:rPr>
              <w:t xml:space="preserve">organy władzy publicznej oraz podmioty wykonujące zadania publiczne lub działające na zlecenie organów władzy publicznej, w zakresie i w celach, które wynikają z przepisów powszechnie obowiązującego prawa; </w:t>
            </w:r>
            <w:r w:rsidRPr="00593BC4">
              <w:rPr>
                <w:rFonts w:ascii="Times New Roman" w:hAnsi="Times New Roman" w:cs="Times New Roman"/>
              </w:rPr>
              <w:t xml:space="preserve">inne podmioty, które na podstawie stosownych </w:t>
            </w:r>
            <w:r w:rsidRPr="00593BC4">
              <w:rPr>
                <w:rFonts w:ascii="Times New Roman" w:hAnsi="Times New Roman" w:cs="Times New Roman"/>
              </w:rPr>
              <w:lastRenderedPageBreak/>
              <w:t>umów podpisanych z Ośrodkiem Sportu i Rekreacji w Jabłonnie</w:t>
            </w:r>
          </w:p>
        </w:tc>
      </w:tr>
      <w:tr w:rsidR="003760E4" w:rsidTr="003760E4">
        <w:tblPrEx>
          <w:tblCellMar>
            <w:top w:w="0" w:type="dxa"/>
            <w:bottom w:w="0" w:type="dxa"/>
          </w:tblCellMar>
        </w:tblPrEx>
        <w:trPr>
          <w:trHeight w:val="1"/>
        </w:trPr>
        <w:tc>
          <w:tcPr>
            <w:tcW w:w="354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pPr>
            <w:r>
              <w:rPr>
                <w:rFonts w:ascii="Times New Roman" w:eastAsia="Times New Roman" w:hAnsi="Times New Roman" w:cs="Times New Roman"/>
              </w:rPr>
              <w:lastRenderedPageBreak/>
              <w:t xml:space="preserve">Zakres przetwarzania: </w:t>
            </w:r>
          </w:p>
        </w:tc>
        <w:tc>
          <w:tcPr>
            <w:tcW w:w="54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593BC4" w:rsidRDefault="00593BC4" w:rsidP="00593BC4">
            <w:pPr>
              <w:suppressAutoHyphens/>
              <w:spacing w:after="0" w:line="240" w:lineRule="auto"/>
              <w:jc w:val="both"/>
              <w:rPr>
                <w:rFonts w:ascii="Times New Roman" w:hAnsi="Times New Roman" w:cs="Times New Roman"/>
              </w:rPr>
            </w:pPr>
            <w:r w:rsidRPr="00593BC4">
              <w:rPr>
                <w:rFonts w:ascii="Times New Roman" w:eastAsia="Times New Roman" w:hAnsi="Times New Roman" w:cs="Times New Roman"/>
              </w:rPr>
              <w:t xml:space="preserve">dane: </w:t>
            </w:r>
            <w:r w:rsidRPr="00593BC4">
              <w:rPr>
                <w:rFonts w:ascii="Times New Roman" w:hAnsi="Times New Roman" w:cs="Times New Roman"/>
              </w:rPr>
              <w:t>imię i nazwisko, data urodzenia, PESEL, nazwisk</w:t>
            </w:r>
            <w:r>
              <w:rPr>
                <w:rFonts w:ascii="Times New Roman" w:hAnsi="Times New Roman" w:cs="Times New Roman"/>
              </w:rPr>
              <w:t>o rodowe, imię ojca, imię matki</w:t>
            </w:r>
          </w:p>
          <w:p w:rsidR="003760E4" w:rsidRPr="00593BC4" w:rsidRDefault="00593BC4" w:rsidP="00593BC4">
            <w:pPr>
              <w:suppressAutoHyphens/>
              <w:spacing w:after="0" w:line="240" w:lineRule="auto"/>
              <w:jc w:val="both"/>
            </w:pPr>
            <w:r>
              <w:rPr>
                <w:rFonts w:ascii="Times New Roman" w:hAnsi="Times New Roman" w:cs="Times New Roman"/>
              </w:rPr>
              <w:t xml:space="preserve">w zakresie rekrutacji na stanowisko w OSiR w Jabłonnie </w:t>
            </w:r>
            <w:r w:rsidR="001415FC">
              <w:rPr>
                <w:rFonts w:ascii="Times New Roman" w:hAnsi="Times New Roman" w:cs="Times New Roman"/>
              </w:rPr>
              <w:t>(</w:t>
            </w:r>
            <w:r>
              <w:rPr>
                <w:rFonts w:ascii="Times New Roman" w:hAnsi="Times New Roman" w:cs="Times New Roman"/>
              </w:rPr>
              <w:t>związane z opieką nad dziećmi</w:t>
            </w:r>
            <w:r w:rsidR="001415FC">
              <w:rPr>
                <w:rFonts w:ascii="Times New Roman" w:hAnsi="Times New Roman" w:cs="Times New Roman"/>
              </w:rPr>
              <w:t>)</w:t>
            </w:r>
          </w:p>
        </w:tc>
      </w:tr>
      <w:tr w:rsidR="003760E4" w:rsidTr="003760E4">
        <w:tblPrEx>
          <w:tblCellMar>
            <w:top w:w="0" w:type="dxa"/>
            <w:bottom w:w="0" w:type="dxa"/>
          </w:tblCellMar>
        </w:tblPrEx>
        <w:trPr>
          <w:trHeight w:val="1"/>
        </w:trPr>
        <w:tc>
          <w:tcPr>
            <w:tcW w:w="354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pPr>
            <w:r>
              <w:rPr>
                <w:rFonts w:ascii="Times New Roman" w:eastAsia="Times New Roman" w:hAnsi="Times New Roman" w:cs="Times New Roman"/>
              </w:rPr>
              <w:t xml:space="preserve">Kontekst przetwarzania: </w:t>
            </w:r>
          </w:p>
        </w:tc>
        <w:tc>
          <w:tcPr>
            <w:tcW w:w="54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593BC4" w:rsidP="001415FC">
            <w:pPr>
              <w:spacing w:after="0" w:line="240" w:lineRule="auto"/>
              <w:jc w:val="both"/>
            </w:pPr>
            <w:r w:rsidRPr="00593BC4">
              <w:rPr>
                <w:rFonts w:ascii="Times New Roman" w:eastAsia="Times New Roman" w:hAnsi="Times New Roman" w:cs="Times New Roman"/>
              </w:rPr>
              <w:t xml:space="preserve">W trybie art. 22 b) </w:t>
            </w:r>
            <w:r>
              <w:rPr>
                <w:rFonts w:ascii="Times New Roman" w:eastAsia="Times New Roman" w:hAnsi="Times New Roman" w:cs="Times New Roman"/>
              </w:rPr>
              <w:t>Ustawy</w:t>
            </w:r>
            <w:r w:rsidRPr="003760E4">
              <w:rPr>
                <w:rFonts w:ascii="Times New Roman" w:eastAsia="Times New Roman" w:hAnsi="Times New Roman" w:cs="Times New Roman"/>
              </w:rPr>
              <w:t xml:space="preserve"> z dnia 13 maja 2016 r. o przeciwdziałaniu zagrożeniom przestępczością na tle seksualnym (t.j. Dz. U. z 2024. 506</w:t>
            </w:r>
            <w:r>
              <w:rPr>
                <w:rFonts w:ascii="Times New Roman" w:eastAsia="Times New Roman" w:hAnsi="Times New Roman" w:cs="Times New Roman"/>
              </w:rPr>
              <w:t>z późn. zm.) – obowiązek prawny w związku realizacja zadań statutowych</w:t>
            </w:r>
            <w:r w:rsidR="00F3417B">
              <w:rPr>
                <w:rFonts w:ascii="Times New Roman" w:eastAsia="Times New Roman" w:hAnsi="Times New Roman" w:cs="Times New Roman"/>
              </w:rPr>
              <w:t xml:space="preserve"> </w:t>
            </w:r>
            <w:r w:rsidR="00F3417B">
              <w:rPr>
                <w:rFonts w:ascii="Times New Roman" w:hAnsi="Times New Roman" w:cs="Times New Roman"/>
              </w:rPr>
              <w:t>Ośrodka</w:t>
            </w:r>
            <w:r w:rsidR="00F3417B" w:rsidRPr="00593BC4">
              <w:rPr>
                <w:rFonts w:ascii="Times New Roman" w:hAnsi="Times New Roman" w:cs="Times New Roman"/>
              </w:rPr>
              <w:t xml:space="preserve"> Sportu i Rekreacji w Jabłonnie</w:t>
            </w:r>
            <w:r w:rsidR="001415FC">
              <w:rPr>
                <w:rFonts w:ascii="Times New Roman" w:hAnsi="Times New Roman" w:cs="Times New Roman"/>
              </w:rPr>
              <w:t>.</w:t>
            </w:r>
          </w:p>
        </w:tc>
      </w:tr>
    </w:tbl>
    <w:p w:rsidR="003760E4" w:rsidRDefault="003760E4" w:rsidP="003760E4">
      <w:pPr>
        <w:spacing w:after="200" w:line="240" w:lineRule="auto"/>
        <w:rPr>
          <w:rFonts w:ascii="Times New Roman" w:eastAsia="Times New Roman" w:hAnsi="Times New Roman" w:cs="Times New Roman"/>
          <w:b/>
        </w:rPr>
      </w:pPr>
    </w:p>
    <w:p w:rsidR="003760E4" w:rsidRDefault="003760E4" w:rsidP="003760E4">
      <w:pPr>
        <w:spacing w:after="200" w:line="240" w:lineRule="auto"/>
        <w:rPr>
          <w:rFonts w:ascii="Times New Roman" w:eastAsia="Times New Roman" w:hAnsi="Times New Roman" w:cs="Times New Roman"/>
          <w:b/>
        </w:rPr>
      </w:pPr>
      <w:r>
        <w:rPr>
          <w:rFonts w:ascii="Times New Roman" w:eastAsia="Times New Roman" w:hAnsi="Times New Roman" w:cs="Times New Roman"/>
          <w:b/>
        </w:rPr>
        <w:t>III. Opis procesu konsultacji wewnętrznych i zewnętrznych</w:t>
      </w:r>
    </w:p>
    <w:p w:rsidR="003760E4" w:rsidRDefault="003760E4" w:rsidP="003760E4">
      <w:pPr>
        <w:spacing w:after="200" w:line="240" w:lineRule="auto"/>
        <w:rPr>
          <w:rFonts w:ascii="Times New Roman" w:eastAsia="Times New Roman" w:hAnsi="Times New Roman" w:cs="Times New Roman"/>
          <w:b/>
        </w:rPr>
      </w:pPr>
      <w:r>
        <w:rPr>
          <w:rFonts w:ascii="Times New Roman" w:eastAsia="Times New Roman" w:hAnsi="Times New Roman" w:cs="Times New Roman"/>
          <w:b/>
        </w:rPr>
        <w:t xml:space="preserve">Tabela nr 2 </w:t>
      </w:r>
    </w:p>
    <w:tbl>
      <w:tblPr>
        <w:tblW w:w="0" w:type="auto"/>
        <w:tblInd w:w="50" w:type="dxa"/>
        <w:tblCellMar>
          <w:left w:w="10" w:type="dxa"/>
          <w:right w:w="10" w:type="dxa"/>
        </w:tblCellMar>
        <w:tblLook w:val="04A0" w:firstRow="1" w:lastRow="0" w:firstColumn="1" w:lastColumn="0" w:noHBand="0" w:noVBand="1"/>
      </w:tblPr>
      <w:tblGrid>
        <w:gridCol w:w="9010"/>
      </w:tblGrid>
      <w:tr w:rsidR="003760E4" w:rsidTr="00F6597A">
        <w:tblPrEx>
          <w:tblCellMar>
            <w:top w:w="0" w:type="dxa"/>
            <w:bottom w:w="0" w:type="dxa"/>
          </w:tblCellMar>
        </w:tblPrEx>
        <w:trPr>
          <w:trHeight w:val="1"/>
        </w:trPr>
        <w:tc>
          <w:tcPr>
            <w:tcW w:w="9212" w:type="dxa"/>
            <w:tcBorders>
              <w:top w:val="single" w:sz="5" w:space="0" w:color="836967"/>
              <w:left w:val="single" w:sz="5" w:space="0" w:color="836967"/>
              <w:bottom w:val="single" w:sz="5" w:space="0" w:color="836967"/>
              <w:right w:val="single" w:sz="5" w:space="0" w:color="836967"/>
            </w:tcBorders>
            <w:shd w:val="clear" w:color="auto" w:fill="FBD4B4"/>
            <w:tcMar>
              <w:left w:w="108" w:type="dxa"/>
              <w:right w:w="108" w:type="dxa"/>
            </w:tcMar>
          </w:tcPr>
          <w:p w:rsidR="003760E4" w:rsidRDefault="003760E4" w:rsidP="00F6597A">
            <w:pPr>
              <w:spacing w:after="0" w:line="240" w:lineRule="auto"/>
            </w:pPr>
            <w:r>
              <w:rPr>
                <w:rFonts w:ascii="Times New Roman" w:eastAsia="Times New Roman" w:hAnsi="Times New Roman" w:cs="Times New Roman"/>
              </w:rPr>
              <w:t>Opinie wewnętrzne np.: Inspektor Ochrony Danych, zespół radców prawnych, specjalista do spraw bezpieczeństwa, pracownicy spółdzielni</w:t>
            </w:r>
          </w:p>
        </w:tc>
      </w:tr>
      <w:tr w:rsidR="003760E4" w:rsidTr="00F6597A">
        <w:tblPrEx>
          <w:tblCellMar>
            <w:top w:w="0" w:type="dxa"/>
            <w:bottom w:w="0" w:type="dxa"/>
          </w:tblCellMar>
        </w:tblPrEx>
        <w:tc>
          <w:tcPr>
            <w:tcW w:w="92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1415FC" w:rsidP="00F6597A">
            <w:pPr>
              <w:spacing w:after="0" w:line="240" w:lineRule="auto"/>
              <w:rPr>
                <w:rFonts w:ascii="Times New Roman" w:eastAsia="Times New Roman" w:hAnsi="Times New Roman" w:cs="Times New Roman"/>
              </w:rPr>
            </w:pPr>
            <w:r>
              <w:rPr>
                <w:rFonts w:ascii="Times New Roman" w:eastAsia="Times New Roman" w:hAnsi="Times New Roman" w:cs="Times New Roman"/>
              </w:rPr>
              <w:t>Opinia IOD - p</w:t>
            </w:r>
            <w:r w:rsidR="003760E4">
              <w:rPr>
                <w:rFonts w:ascii="Times New Roman" w:eastAsia="Times New Roman" w:hAnsi="Times New Roman" w:cs="Times New Roman"/>
              </w:rPr>
              <w:t>o przeprowadzeniu analizy ryzyka, oraz sprawdzeniu aktualnych przepisów dotyczących pozyskiwania danych osobowych ze wskazanych rejestrów zalecono przeprowadzenie oceny skutków dla ochrony danych osobowych.</w:t>
            </w:r>
          </w:p>
          <w:p w:rsidR="003760E4" w:rsidRDefault="003760E4" w:rsidP="00F6597A">
            <w:pPr>
              <w:spacing w:before="240" w:after="0" w:line="240" w:lineRule="auto"/>
              <w:jc w:val="both"/>
            </w:pPr>
            <w:r>
              <w:rPr>
                <w:rFonts w:ascii="Times New Roman" w:eastAsia="Times New Roman" w:hAnsi="Times New Roman" w:cs="Times New Roman"/>
              </w:rPr>
              <w:t xml:space="preserve">Informatyk: sprawdzono i zaktualizowano środki zapewniające bezpieczeństwo danych przetwarzanych </w:t>
            </w:r>
            <w:r w:rsidR="001415FC">
              <w:rPr>
                <w:rFonts w:ascii="Times New Roman" w:eastAsia="Times New Roman" w:hAnsi="Times New Roman" w:cs="Times New Roman"/>
              </w:rPr>
              <w:t xml:space="preserve">w systemach teleinformatycznych. </w:t>
            </w:r>
            <w:bookmarkStart w:id="0" w:name="_GoBack"/>
            <w:bookmarkEnd w:id="0"/>
          </w:p>
        </w:tc>
      </w:tr>
      <w:tr w:rsidR="003760E4" w:rsidTr="00F6597A">
        <w:tblPrEx>
          <w:tblCellMar>
            <w:top w:w="0" w:type="dxa"/>
            <w:bottom w:w="0" w:type="dxa"/>
          </w:tblCellMar>
        </w:tblPrEx>
        <w:tc>
          <w:tcPr>
            <w:tcW w:w="9212" w:type="dxa"/>
            <w:tcBorders>
              <w:top w:val="single" w:sz="5" w:space="0" w:color="836967"/>
              <w:left w:val="single" w:sz="5" w:space="0" w:color="836967"/>
              <w:bottom w:val="single" w:sz="5" w:space="0" w:color="836967"/>
              <w:right w:val="single" w:sz="5" w:space="0" w:color="836967"/>
            </w:tcBorders>
            <w:shd w:val="clear" w:color="auto" w:fill="FBD4B4"/>
            <w:tcMar>
              <w:left w:w="108" w:type="dxa"/>
              <w:right w:w="108" w:type="dxa"/>
            </w:tcMar>
          </w:tcPr>
          <w:p w:rsidR="003760E4" w:rsidRDefault="003760E4" w:rsidP="00F6597A">
            <w:pPr>
              <w:spacing w:after="0" w:line="240" w:lineRule="auto"/>
            </w:pPr>
            <w:r>
              <w:rPr>
                <w:rFonts w:ascii="Times New Roman" w:eastAsia="Times New Roman" w:hAnsi="Times New Roman" w:cs="Times New Roman"/>
              </w:rPr>
              <w:t>Opinie podmiotów zewnętrznych</w:t>
            </w:r>
          </w:p>
        </w:tc>
      </w:tr>
      <w:tr w:rsidR="003760E4" w:rsidTr="00F6597A">
        <w:tblPrEx>
          <w:tblCellMar>
            <w:top w:w="0" w:type="dxa"/>
            <w:bottom w:w="0" w:type="dxa"/>
          </w:tblCellMar>
        </w:tblPrEx>
        <w:tc>
          <w:tcPr>
            <w:tcW w:w="921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Pr="001415FC" w:rsidRDefault="001415FC" w:rsidP="00F6597A">
            <w:pPr>
              <w:spacing w:after="0" w:line="240" w:lineRule="auto"/>
              <w:jc w:val="both"/>
              <w:rPr>
                <w:rFonts w:ascii="Times New Roman" w:eastAsia="Calibri" w:hAnsi="Times New Roman" w:cs="Times New Roman"/>
              </w:rPr>
            </w:pPr>
            <w:r w:rsidRPr="001415FC">
              <w:rPr>
                <w:rFonts w:ascii="Times New Roman" w:eastAsia="Calibri" w:hAnsi="Times New Roman" w:cs="Times New Roman"/>
              </w:rPr>
              <w:t xml:space="preserve">Nie dotyczy. </w:t>
            </w:r>
          </w:p>
        </w:tc>
      </w:tr>
    </w:tbl>
    <w:p w:rsidR="003760E4" w:rsidRDefault="003760E4" w:rsidP="003760E4">
      <w:pPr>
        <w:spacing w:after="0" w:line="240" w:lineRule="auto"/>
        <w:rPr>
          <w:rFonts w:ascii="Times New Roman" w:eastAsia="Times New Roman" w:hAnsi="Times New Roman" w:cs="Times New Roman"/>
        </w:rPr>
      </w:pPr>
    </w:p>
    <w:p w:rsidR="003760E4" w:rsidRDefault="003760E4" w:rsidP="003760E4">
      <w:pPr>
        <w:spacing w:after="20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III. </w:t>
      </w:r>
      <w:r>
        <w:rPr>
          <w:rFonts w:ascii="Times New Roman" w:eastAsia="Times New Roman" w:hAnsi="Times New Roman" w:cs="Times New Roman"/>
          <w:b/>
          <w:color w:val="000000"/>
        </w:rPr>
        <w:t>Określenie niezbędności oraz proporcjonalności danych art. 35 ust. 7 lit b RODO</w:t>
      </w:r>
    </w:p>
    <w:p w:rsidR="003760E4" w:rsidRDefault="003760E4" w:rsidP="003760E4">
      <w:pPr>
        <w:spacing w:after="200" w:line="240" w:lineRule="auto"/>
        <w:rPr>
          <w:rFonts w:ascii="Times New Roman" w:eastAsia="Times New Roman" w:hAnsi="Times New Roman" w:cs="Times New Roman"/>
          <w:b/>
        </w:rPr>
      </w:pPr>
      <w:r>
        <w:rPr>
          <w:rFonts w:ascii="Times New Roman" w:eastAsia="Times New Roman" w:hAnsi="Times New Roman" w:cs="Times New Roman"/>
          <w:b/>
        </w:rPr>
        <w:t>Tabela nr 3</w:t>
      </w:r>
    </w:p>
    <w:tbl>
      <w:tblPr>
        <w:tblW w:w="0" w:type="auto"/>
        <w:tblInd w:w="50" w:type="dxa"/>
        <w:tblCellMar>
          <w:left w:w="10" w:type="dxa"/>
          <w:right w:w="10" w:type="dxa"/>
        </w:tblCellMar>
        <w:tblLook w:val="04A0" w:firstRow="1" w:lastRow="0" w:firstColumn="1" w:lastColumn="0" w:noHBand="0" w:noVBand="1"/>
      </w:tblPr>
      <w:tblGrid>
        <w:gridCol w:w="3720"/>
        <w:gridCol w:w="5290"/>
      </w:tblGrid>
      <w:tr w:rsidR="003760E4" w:rsidTr="00F6597A">
        <w:tblPrEx>
          <w:tblCellMar>
            <w:top w:w="0" w:type="dxa"/>
            <w:bottom w:w="0" w:type="dxa"/>
          </w:tblCellMar>
        </w:tblPrEx>
        <w:trPr>
          <w:trHeight w:val="1"/>
        </w:trPr>
        <w:tc>
          <w:tcPr>
            <w:tcW w:w="9212" w:type="dxa"/>
            <w:gridSpan w:val="2"/>
            <w:tcBorders>
              <w:top w:val="single" w:sz="5" w:space="0" w:color="836967"/>
              <w:left w:val="single" w:sz="5" w:space="0" w:color="836967"/>
              <w:bottom w:val="single" w:sz="5" w:space="0" w:color="836967"/>
              <w:right w:val="single" w:sz="5" w:space="0" w:color="836967"/>
            </w:tcBorders>
            <w:shd w:val="clear" w:color="auto" w:fill="FBD4B4"/>
            <w:tcMar>
              <w:left w:w="108" w:type="dxa"/>
              <w:right w:w="108" w:type="dxa"/>
            </w:tcMar>
          </w:tcPr>
          <w:p w:rsidR="003760E4" w:rsidRDefault="003760E4" w:rsidP="00F6597A">
            <w:pPr>
              <w:spacing w:after="0" w:line="240" w:lineRule="auto"/>
              <w:jc w:val="center"/>
            </w:pPr>
            <w:r>
              <w:rPr>
                <w:rFonts w:ascii="Times New Roman" w:eastAsia="Times New Roman" w:hAnsi="Times New Roman" w:cs="Times New Roman"/>
              </w:rPr>
              <w:t>Środki, których podjęcie jest planowane w celu zapewnienia przestrzegania RODO</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center"/>
            </w:pPr>
            <w:r>
              <w:rPr>
                <w:rFonts w:ascii="Times New Roman" w:eastAsia="Times New Roman" w:hAnsi="Times New Roman" w:cs="Times New Roman"/>
              </w:rPr>
              <w:t>Pytanie</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center"/>
            </w:pPr>
            <w:r>
              <w:rPr>
                <w:rFonts w:ascii="Times New Roman" w:eastAsia="Times New Roman" w:hAnsi="Times New Roman" w:cs="Times New Roman"/>
              </w:rPr>
              <w:t>Odpowiedź</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Czy cele przetwarzania są konkretne, wyraźne i prawnie uzasadnione (art. 5 ust. 1 lit. b)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pPr>
            <w:r>
              <w:rPr>
                <w:rFonts w:ascii="Times New Roman" w:eastAsia="Times New Roman" w:hAnsi="Times New Roman" w:cs="Times New Roman"/>
              </w:rPr>
              <w:t>Tak, określone przepisami prawa.</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Jaka jest podstawa prawna przetwarzania danych?</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Ustawa z dnia 24 maja 2000 r. o Krajowym Rejestrze Karnym, Rejestru Sprawców Przestępstw na Tle Seksualnym ustawa z dnia 13 maja 2016 r o przeciwdziałaniu zagrożeniom przestępczością na tle seksualnym i ochronie małoletnich.</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Czy Administrator zbiera dane wyłącznie w zakresie niezbędnym do określonego celu</w:t>
            </w:r>
            <w:r>
              <w:rPr>
                <w:rFonts w:ascii="Times New Roman" w:eastAsia="Times New Roman" w:hAnsi="Times New Roman" w:cs="Times New Roman"/>
                <w:i/>
              </w:rPr>
              <w:t xml:space="preserve"> </w:t>
            </w:r>
            <w:r>
              <w:rPr>
                <w:rFonts w:ascii="Times New Roman" w:eastAsia="Times New Roman" w:hAnsi="Times New Roman" w:cs="Times New Roman"/>
              </w:rPr>
              <w:t>(minimalizacja danych) (art. 5 ust. 1 lit. c)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Tak, zgodnie z wymogami ustawowymi.</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Czy dane są przechowywane wyłącznie przez czas niezbędny do ich przetwarzania (art. 5 ust. 1 lit. e)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1415FC">
            <w:pPr>
              <w:spacing w:after="0" w:line="240" w:lineRule="auto"/>
              <w:jc w:val="both"/>
            </w:pPr>
            <w:r>
              <w:rPr>
                <w:rFonts w:ascii="Times New Roman" w:eastAsia="Times New Roman" w:hAnsi="Times New Roman" w:cs="Times New Roman"/>
              </w:rPr>
              <w:t>Tak, zgodnie z obowiązu</w:t>
            </w:r>
            <w:r w:rsidR="001415FC">
              <w:rPr>
                <w:rFonts w:ascii="Times New Roman" w:eastAsia="Times New Roman" w:hAnsi="Times New Roman" w:cs="Times New Roman"/>
              </w:rPr>
              <w:t>jącymi przepisami Kodeksu pracy.</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W jaki sposób Administrator weryfikuje prawidłowość danych i je uaktualnia (art. 5 ust. 1 lit. d)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Osoba wyznaczona do pozyskiwania danych z rejestrów regularnie sprawdza aktualność danych.</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 xml:space="preserve">Czy Administrator weryfikuje podmiot przetwarzający w sposób zapewniający, </w:t>
            </w:r>
            <w:r>
              <w:rPr>
                <w:rFonts w:ascii="Times New Roman" w:eastAsia="Times New Roman" w:hAnsi="Times New Roman" w:cs="Times New Roman"/>
              </w:rPr>
              <w:lastRenderedPageBreak/>
              <w:t>że procesor będzie przetwarzał powierzone dane zgodnie z przepisami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lastRenderedPageBreak/>
              <w:t>Tak, zgodnie z zaleceniami Prezesa UODO.</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Czy dane będą przekazywane poza Europejski Obszar Gospodarczy, jeśli tak to, w jaki sposób dane zostaną zabezpieczone?</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1415FC" w:rsidP="00F6597A">
            <w:pPr>
              <w:spacing w:after="0" w:line="240" w:lineRule="auto"/>
              <w:jc w:val="both"/>
            </w:pPr>
            <w:r>
              <w:rPr>
                <w:rFonts w:ascii="Times New Roman" w:eastAsia="Times New Roman" w:hAnsi="Times New Roman" w:cs="Times New Roman"/>
              </w:rPr>
              <w:t>Nie, wykorzystywane</w:t>
            </w:r>
            <w:r w:rsidR="003760E4">
              <w:rPr>
                <w:rFonts w:ascii="Times New Roman" w:eastAsia="Times New Roman" w:hAnsi="Times New Roman" w:cs="Times New Roman"/>
              </w:rPr>
              <w:t xml:space="preserve"> serwery znajdują się na terenie EOG.</w:t>
            </w:r>
          </w:p>
        </w:tc>
      </w:tr>
    </w:tbl>
    <w:p w:rsidR="003760E4" w:rsidRDefault="003760E4" w:rsidP="003760E4">
      <w:pPr>
        <w:spacing w:before="240" w:after="200" w:line="240" w:lineRule="auto"/>
        <w:rPr>
          <w:rFonts w:ascii="Times New Roman" w:eastAsia="Times New Roman" w:hAnsi="Times New Roman" w:cs="Times New Roman"/>
          <w:b/>
        </w:rPr>
      </w:pPr>
      <w:r>
        <w:rPr>
          <w:rFonts w:ascii="Times New Roman" w:eastAsia="Times New Roman" w:hAnsi="Times New Roman" w:cs="Times New Roman"/>
          <w:b/>
        </w:rPr>
        <w:t>Tabela nr 4</w:t>
      </w:r>
    </w:p>
    <w:tbl>
      <w:tblPr>
        <w:tblW w:w="0" w:type="auto"/>
        <w:tblInd w:w="50" w:type="dxa"/>
        <w:tblCellMar>
          <w:left w:w="10" w:type="dxa"/>
          <w:right w:w="10" w:type="dxa"/>
        </w:tblCellMar>
        <w:tblLook w:val="04A0" w:firstRow="1" w:lastRow="0" w:firstColumn="1" w:lastColumn="0" w:noHBand="0" w:noVBand="1"/>
      </w:tblPr>
      <w:tblGrid>
        <w:gridCol w:w="3718"/>
        <w:gridCol w:w="5292"/>
      </w:tblGrid>
      <w:tr w:rsidR="003760E4" w:rsidTr="00F6597A">
        <w:tblPrEx>
          <w:tblCellMar>
            <w:top w:w="0" w:type="dxa"/>
            <w:bottom w:w="0" w:type="dxa"/>
          </w:tblCellMar>
        </w:tblPrEx>
        <w:trPr>
          <w:trHeight w:val="1"/>
        </w:trPr>
        <w:tc>
          <w:tcPr>
            <w:tcW w:w="9212" w:type="dxa"/>
            <w:gridSpan w:val="2"/>
            <w:tcBorders>
              <w:top w:val="single" w:sz="5" w:space="0" w:color="836967"/>
              <w:left w:val="single" w:sz="5" w:space="0" w:color="836967"/>
              <w:bottom w:val="single" w:sz="5" w:space="0" w:color="836967"/>
              <w:right w:val="single" w:sz="5" w:space="0" w:color="836967"/>
            </w:tcBorders>
            <w:shd w:val="clear" w:color="auto" w:fill="FBD4B4"/>
            <w:tcMar>
              <w:left w:w="108" w:type="dxa"/>
              <w:right w:w="108" w:type="dxa"/>
            </w:tcMar>
          </w:tcPr>
          <w:p w:rsidR="003760E4" w:rsidRDefault="003760E4" w:rsidP="00F6597A">
            <w:pPr>
              <w:spacing w:after="0" w:line="240" w:lineRule="auto"/>
              <w:jc w:val="center"/>
            </w:pPr>
            <w:r>
              <w:rPr>
                <w:rFonts w:ascii="Times New Roman" w:eastAsia="Times New Roman" w:hAnsi="Times New Roman" w:cs="Times New Roman"/>
              </w:rPr>
              <w:t>Środki przyczyniające się do zachowania praw osób, których dane dotyczą</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center"/>
            </w:pPr>
            <w:r>
              <w:rPr>
                <w:rFonts w:ascii="Times New Roman" w:eastAsia="Times New Roman" w:hAnsi="Times New Roman" w:cs="Times New Roman"/>
              </w:rPr>
              <w:t>Pytanie</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center"/>
            </w:pPr>
            <w:r>
              <w:rPr>
                <w:rFonts w:ascii="Times New Roman" w:eastAsia="Times New Roman" w:hAnsi="Times New Roman" w:cs="Times New Roman"/>
              </w:rPr>
              <w:t>Odpowiedź</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Czy Administrator realizuje obowiązki informacyjne z art. 13 i 14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Tak, zgodnie z RODO.</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Czy obowiązek informacyjny jest przekazywany w zwięzłej, przejrzystej łatwo dostępnej formie oraz napisany jest prostym językiem (art. 12 ust. 1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Tak, Administrator sporządza klauzule informacyjne zgodnie z zaleceniami IOD o przejrzystej i zrozumiałej formie.</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W jaki sposób osoba fizyczna może realizować prawo dostępu do danych osobowych (art. 15 ust. 1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 xml:space="preserve">Poprzez kontakt z Administratorem: pisząc na adres siedziby ADO lub poprzez adres e-mail. </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Jakie środki podejmuje Administrator, aby zapewnić osobie fizycznej prawo realizacji uzyskania kopii danych</w:t>
            </w:r>
          </w:p>
          <w:p w:rsidR="003760E4" w:rsidRDefault="003760E4" w:rsidP="00F6597A">
            <w:pPr>
              <w:spacing w:after="0" w:line="240" w:lineRule="auto"/>
              <w:jc w:val="both"/>
            </w:pPr>
            <w:r>
              <w:rPr>
                <w:rFonts w:ascii="Times New Roman" w:eastAsia="Times New Roman" w:hAnsi="Times New Roman" w:cs="Times New Roman"/>
              </w:rPr>
              <w:t>(art. 15 ust. 3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1415FC">
            <w:pPr>
              <w:spacing w:after="0" w:line="240" w:lineRule="auto"/>
              <w:jc w:val="both"/>
            </w:pPr>
            <w:r>
              <w:rPr>
                <w:rFonts w:ascii="Times New Roman" w:eastAsia="Times New Roman" w:hAnsi="Times New Roman" w:cs="Times New Roman"/>
              </w:rPr>
              <w:t>Informacja na stronie internetowej, kontakt z IOD, wskazanie sposobów kontaktu w obowiązkach informacyjnych.</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W jaki sposób osoba fizyczna może sprostować swoje dane (art. 16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 xml:space="preserve">Kontaktując się z ADO lub IOD, kontakt wskazany jest na stronie spółdzielni i w obowiązkach informacyjnych. </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Czy osobie fizycznej przysługuje prawo do usunięcia danych (art. 17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1415FC" w:rsidP="001415FC">
            <w:pPr>
              <w:spacing w:after="0" w:line="240" w:lineRule="auto"/>
              <w:jc w:val="both"/>
            </w:pPr>
            <w:r>
              <w:rPr>
                <w:rFonts w:ascii="Times New Roman" w:eastAsia="Times New Roman" w:hAnsi="Times New Roman" w:cs="Times New Roman"/>
              </w:rPr>
              <w:t xml:space="preserve">Zgodnie z przepisami prawa. </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W jaki sposób osoby fizyczne mogą wyegzekwować prawo do ograniczenia przetwarzania i prawo do sprzeciwu (art. 18 i art. 21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Kontaktując się z ADO lub IOD, kontakt wskazany jest na stronie spółdzielni i w obowiązkach informacyjnych.</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Czy Administrator informuje o sprostowaniu lub usunięciu lub ograniczeniu przetwarzania każdego odbiorcę, któremu ujawniono dane osobowe (art. 19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Tak, w obowiązkach informacyjnych.</w:t>
            </w:r>
          </w:p>
        </w:tc>
      </w:tr>
      <w:tr w:rsidR="003760E4" w:rsidTr="00F6597A">
        <w:tblPrEx>
          <w:tblCellMar>
            <w:top w:w="0" w:type="dxa"/>
            <w:bottom w:w="0" w:type="dxa"/>
          </w:tblCellMar>
        </w:tblPrEx>
        <w:trPr>
          <w:trHeight w:val="1"/>
        </w:trPr>
        <w:tc>
          <w:tcPr>
            <w:tcW w:w="379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Czy osobie fizycznej przysługuje prawo do przenoszenia danych (art. 20 RODO)?</w:t>
            </w:r>
          </w:p>
        </w:tc>
        <w:tc>
          <w:tcPr>
            <w:tcW w:w="5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3760E4" w:rsidRDefault="003760E4" w:rsidP="00F6597A">
            <w:pPr>
              <w:spacing w:after="0" w:line="240" w:lineRule="auto"/>
              <w:jc w:val="both"/>
            </w:pPr>
            <w:r>
              <w:rPr>
                <w:rFonts w:ascii="Times New Roman" w:eastAsia="Times New Roman" w:hAnsi="Times New Roman" w:cs="Times New Roman"/>
              </w:rPr>
              <w:t>Nie.</w:t>
            </w:r>
          </w:p>
        </w:tc>
      </w:tr>
    </w:tbl>
    <w:p w:rsidR="003760E4" w:rsidRDefault="003760E4" w:rsidP="003760E4">
      <w:pPr>
        <w:spacing w:after="200" w:line="240" w:lineRule="auto"/>
        <w:rPr>
          <w:rFonts w:ascii="Times New Roman" w:eastAsia="Times New Roman" w:hAnsi="Times New Roman" w:cs="Times New Roman"/>
        </w:rPr>
      </w:pPr>
    </w:p>
    <w:sectPr w:rsidR="003760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DD2" w:rsidRDefault="003F5DD2" w:rsidP="00080A2B">
      <w:pPr>
        <w:spacing w:after="0" w:line="240" w:lineRule="auto"/>
      </w:pPr>
      <w:r>
        <w:separator/>
      </w:r>
    </w:p>
  </w:endnote>
  <w:endnote w:type="continuationSeparator" w:id="0">
    <w:p w:rsidR="003F5DD2" w:rsidRDefault="003F5DD2" w:rsidP="0008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DD2" w:rsidRDefault="003F5DD2" w:rsidP="00080A2B">
      <w:pPr>
        <w:spacing w:after="0" w:line="240" w:lineRule="auto"/>
      </w:pPr>
      <w:r>
        <w:separator/>
      </w:r>
    </w:p>
  </w:footnote>
  <w:footnote w:type="continuationSeparator" w:id="0">
    <w:p w:rsidR="003F5DD2" w:rsidRDefault="003F5DD2" w:rsidP="00080A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1EC3"/>
    <w:multiLevelType w:val="multilevel"/>
    <w:tmpl w:val="D14E2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A90C67"/>
    <w:multiLevelType w:val="hybridMultilevel"/>
    <w:tmpl w:val="A2041402"/>
    <w:lvl w:ilvl="0" w:tplc="2DA6A4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AA1A74"/>
    <w:multiLevelType w:val="multilevel"/>
    <w:tmpl w:val="2E8C0E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8714C6"/>
    <w:multiLevelType w:val="multilevel"/>
    <w:tmpl w:val="24A407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E4"/>
    <w:rsid w:val="00080A2B"/>
    <w:rsid w:val="00081B8F"/>
    <w:rsid w:val="001415FC"/>
    <w:rsid w:val="00173AC6"/>
    <w:rsid w:val="001D16D4"/>
    <w:rsid w:val="003760E4"/>
    <w:rsid w:val="003F5DD2"/>
    <w:rsid w:val="004A0817"/>
    <w:rsid w:val="00593BC4"/>
    <w:rsid w:val="0061444D"/>
    <w:rsid w:val="00666E08"/>
    <w:rsid w:val="008370C0"/>
    <w:rsid w:val="00B82E17"/>
    <w:rsid w:val="00C03480"/>
    <w:rsid w:val="00D076E1"/>
    <w:rsid w:val="00D80B6C"/>
    <w:rsid w:val="00F3417B"/>
    <w:rsid w:val="00FF2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D8D2F-98CC-4978-A5B5-E9DE3FC6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60E4"/>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080A2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0A2B"/>
    <w:rPr>
      <w:rFonts w:eastAsiaTheme="minorEastAsia"/>
      <w:sz w:val="20"/>
      <w:szCs w:val="20"/>
      <w:lang w:eastAsia="pl-PL"/>
    </w:rPr>
  </w:style>
  <w:style w:type="character" w:styleId="Odwoanieprzypisukocowego">
    <w:name w:val="endnote reference"/>
    <w:basedOn w:val="Domylnaczcionkaakapitu"/>
    <w:uiPriority w:val="99"/>
    <w:semiHidden/>
    <w:unhideWhenUsed/>
    <w:rsid w:val="00080A2B"/>
    <w:rPr>
      <w:vertAlign w:val="superscript"/>
    </w:rPr>
  </w:style>
  <w:style w:type="paragraph" w:styleId="Akapitzlist">
    <w:name w:val="List Paragraph"/>
    <w:basedOn w:val="Normalny"/>
    <w:uiPriority w:val="34"/>
    <w:qFormat/>
    <w:rsid w:val="00593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6153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Wojciechowska</dc:creator>
  <cp:keywords/>
  <dc:description/>
  <cp:lastModifiedBy>Beata Wojciechowska</cp:lastModifiedBy>
  <cp:revision>2</cp:revision>
  <dcterms:created xsi:type="dcterms:W3CDTF">2024-08-12T13:10:00Z</dcterms:created>
  <dcterms:modified xsi:type="dcterms:W3CDTF">2024-08-12T13:10:00Z</dcterms:modified>
</cp:coreProperties>
</file>